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E635A2" w:rsidRDefault="004033D8" w:rsidP="00E635A2">
      <w:pPr>
        <w:jc w:val="right"/>
        <w:rPr>
          <w:b/>
          <w:bCs/>
          <w:sz w:val="20"/>
          <w:szCs w:val="20"/>
        </w:rPr>
      </w:pPr>
      <w:r w:rsidRPr="00E635A2">
        <w:rPr>
          <w:rFonts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hint="cs"/>
          <w:sz w:val="20"/>
          <w:szCs w:val="20"/>
          <w:rtl/>
        </w:rPr>
        <w:t>2190337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וארבע</w:t>
      </w:r>
      <w:bookmarkEnd w:id="1"/>
    </w:p>
    <w:p w14:paraId="7F6961A3" w14:textId="77777777" w:rsidR="00E13C27" w:rsidRPr="00F67051" w:rsidRDefault="00E13C27" w:rsidP="00E13C27">
      <w:pPr>
        <w:rPr>
          <w:b/>
          <w:bCs/>
          <w:sz w:val="26"/>
          <w:szCs w:val="26"/>
          <w:rtl/>
        </w:rPr>
      </w:pPr>
    </w:p>
    <w:p w14:paraId="7F6961AA" w14:textId="626B5913" w:rsidR="00E13C27" w:rsidRPr="00CF1AA2" w:rsidRDefault="008F6665" w:rsidP="001E078B">
      <w:pPr>
        <w:pStyle w:val="David"/>
        <w:spacing w:before="102"/>
        <w:ind w:left="3544"/>
        <w:rPr>
          <w:b/>
          <w:bCs/>
          <w:sz w:val="16"/>
          <w:szCs w:val="16"/>
          <w:rtl/>
        </w:rPr>
      </w:pPr>
      <w:bookmarkStart w:id="2" w:name="LGS_Initiators_List"/>
      <w:r>
        <w:rPr>
          <w:b/>
          <w:bCs/>
          <w:rtl/>
        </w:rPr>
        <w:t>יוזמים:      חברי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>
        <w:rPr>
          <w:rFonts w:hint="cs"/>
          <w:b/>
          <w:bCs/>
          <w:rtl/>
        </w:rPr>
        <w:t>אורי מקלב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משה גפני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יעקב אשר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יצחק פינדרוס</w:t>
      </w:r>
      <w:bookmarkStart w:id="4" w:name="LGS_Join_List"/>
      <w:bookmarkEnd w:id="3"/>
      <w:r w:rsidR="007D585A">
        <w:rPr>
          <w:rtl/>
        </w:rPr>
        <w:t xml:space="preserve"> </w:t>
      </w:r>
      <w:bookmarkEnd w:id="4"/>
      <w:r w:rsidR="002200A1" w:rsidRPr="00CF1AA2">
        <w:rPr>
          <w:rFonts w:hint="cs"/>
          <w:rtl/>
        </w:rPr>
        <w:tab/>
      </w:r>
      <w:bookmarkStart w:id="5" w:name="LGS_PM_NamesJoin"/>
      <w:r w:rsidR="007D585A">
        <w:rPr>
          <w:rFonts w:hint="cs"/>
          <w:rtl/>
        </w:rPr>
        <w:t xml:space="preserve"> </w:t>
      </w:r>
      <w:bookmarkEnd w:id="5"/>
    </w:p>
    <w:p w14:paraId="34DB4103" w14:textId="77777777" w:rsidR="00904591" w:rsidRPr="00904591" w:rsidRDefault="00266D86" w:rsidP="0036422C">
      <w:pPr>
        <w:pStyle w:val="David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32C627FF" w:rsidR="00E13C27" w:rsidRPr="00E06736" w:rsidRDefault="00904591" w:rsidP="001E078B">
      <w:pPr>
        <w:pStyle w:val="David"/>
        <w:spacing w:line="240" w:lineRule="auto"/>
        <w:ind w:left="6424" w:firstLine="56"/>
        <w:rPr>
          <w:rtl/>
        </w:rPr>
      </w:pPr>
      <w:bookmarkStart w:id="6" w:name="Private_Number"/>
      <w:r>
        <w:rPr>
          <w:rFonts w:hint="cs"/>
          <w:rtl/>
        </w:rPr>
        <w:t>פ/3498/24</w:t>
      </w:r>
      <w:bookmarkEnd w:id="6"/>
    </w:p>
    <w:p w14:paraId="7F6961AD" w14:textId="655ACF74" w:rsidR="00E13C27" w:rsidRPr="00F67051" w:rsidRDefault="00A443CF" w:rsidP="00637B82">
      <w:pPr>
        <w:pStyle w:val="HeadHatzaotHok"/>
        <w:rPr>
          <w:rtl/>
        </w:rPr>
      </w:pPr>
      <w:bookmarkStart w:id="7" w:name="LGS_Subject"/>
      <w:r>
        <w:rPr>
          <w:rFonts w:hint="cs"/>
          <w:rtl/>
        </w:rPr>
        <w:t>הצעת חוק שירות המדינה (גמלאות) (תיקון – ביטול שלילת גמלאות מאלמנים שנישאו), התשפ"ב-2022</w:t>
      </w:r>
      <w:bookmarkEnd w:id="7"/>
    </w:p>
    <w:tbl>
      <w:tblPr>
        <w:bidiVisual/>
        <w:tblW w:w="963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871"/>
        <w:gridCol w:w="625"/>
        <w:gridCol w:w="624"/>
        <w:gridCol w:w="6518"/>
      </w:tblGrid>
      <w:tr w:rsidR="00F12923" w14:paraId="021860FB" w14:textId="77777777" w:rsidTr="001E078B">
        <w:trPr>
          <w:cantSplit/>
        </w:trPr>
        <w:tc>
          <w:tcPr>
            <w:tcW w:w="1871" w:type="dxa"/>
          </w:tcPr>
          <w:p w14:paraId="54E7F01C" w14:textId="77777777" w:rsidR="00F12923" w:rsidRPr="00B4211E" w:rsidRDefault="00F12923" w:rsidP="008E4453">
            <w:pPr>
              <w:pStyle w:val="TableSideHeading"/>
            </w:pPr>
            <w:r w:rsidRPr="00B4211E">
              <w:rPr>
                <w:rtl/>
              </w:rPr>
              <w:t xml:space="preserve">תיקון סעיף 26 </w:t>
            </w:r>
          </w:p>
        </w:tc>
        <w:tc>
          <w:tcPr>
            <w:tcW w:w="625" w:type="dxa"/>
          </w:tcPr>
          <w:p w14:paraId="60F356E9" w14:textId="77777777" w:rsidR="00F12923" w:rsidRPr="00B4211E" w:rsidRDefault="00F12923" w:rsidP="008E4453">
            <w:pPr>
              <w:pStyle w:val="TableText"/>
              <w:jc w:val="both"/>
            </w:pPr>
            <w:r w:rsidRPr="00B4211E">
              <w:rPr>
                <w:rtl/>
              </w:rPr>
              <w:t>1.</w:t>
            </w:r>
          </w:p>
        </w:tc>
        <w:tc>
          <w:tcPr>
            <w:tcW w:w="7142" w:type="dxa"/>
            <w:gridSpan w:val="2"/>
          </w:tcPr>
          <w:p w14:paraId="725A0255" w14:textId="0008F819" w:rsidR="00F12923" w:rsidRPr="00B4211E" w:rsidRDefault="00F12923" w:rsidP="001E078B">
            <w:pPr>
              <w:pStyle w:val="TableBlock"/>
            </w:pPr>
            <w:r w:rsidRPr="00B4211E">
              <w:rPr>
                <w:rtl/>
              </w:rPr>
              <w:t>‏בחוק שירות המדינה (גמלאות) [נוסח משולב], התש"ל–1970</w:t>
            </w:r>
            <w:r w:rsidRPr="001E078B">
              <w:rPr>
                <w:rFonts w:ascii="David" w:hAnsi="David"/>
                <w:sz w:val="26"/>
                <w:vertAlign w:val="superscript"/>
                <w:rtl/>
              </w:rPr>
              <w:footnoteReference w:id="2"/>
            </w:r>
            <w:r w:rsidRPr="00B4211E">
              <w:rPr>
                <w:vertAlign w:val="superscript"/>
                <w:rtl/>
              </w:rPr>
              <w:t xml:space="preserve"> </w:t>
            </w:r>
            <w:r w:rsidRPr="00B4211E">
              <w:rPr>
                <w:rtl/>
              </w:rPr>
              <w:t xml:space="preserve"> (להלן – החוק העיקרי), בסעיף 26(א)(1), </w:t>
            </w:r>
            <w:r w:rsidRPr="00B4211E">
              <w:rPr>
                <w:rFonts w:hint="cs"/>
                <w:rtl/>
              </w:rPr>
              <w:t>ברישה, המילים</w:t>
            </w:r>
            <w:r w:rsidRPr="00B4211E">
              <w:rPr>
                <w:rtl/>
              </w:rPr>
              <w:t xml:space="preserve"> "כל עוד לא נישא" </w:t>
            </w:r>
            <w:r w:rsidRPr="00B4211E">
              <w:rPr>
                <w:rFonts w:hint="cs"/>
                <w:rtl/>
              </w:rPr>
              <w:t xml:space="preserve"> </w:t>
            </w:r>
            <w:r w:rsidRPr="00B4211E">
              <w:rPr>
                <w:rFonts w:hint="eastAsia"/>
                <w:rtl/>
              </w:rPr>
              <w:t>–</w:t>
            </w:r>
            <w:r w:rsidRPr="00B4211E">
              <w:rPr>
                <w:rFonts w:hint="cs"/>
                <w:rtl/>
              </w:rPr>
              <w:t xml:space="preserve"> יימחקו.</w:t>
            </w:r>
          </w:p>
        </w:tc>
      </w:tr>
      <w:tr w:rsidR="00F12923" w14:paraId="73742427" w14:textId="77777777" w:rsidTr="001E078B">
        <w:trPr>
          <w:cantSplit/>
        </w:trPr>
        <w:tc>
          <w:tcPr>
            <w:tcW w:w="1871" w:type="dxa"/>
          </w:tcPr>
          <w:p w14:paraId="7C4D3873" w14:textId="77777777" w:rsidR="00F12923" w:rsidRPr="00B4211E" w:rsidRDefault="00F12923" w:rsidP="008E4453">
            <w:pPr>
              <w:pStyle w:val="TableSideHeading"/>
            </w:pPr>
            <w:r w:rsidRPr="00B4211E">
              <w:rPr>
                <w:rtl/>
              </w:rPr>
              <w:t xml:space="preserve">תיקון סעיף 28 </w:t>
            </w:r>
          </w:p>
        </w:tc>
        <w:tc>
          <w:tcPr>
            <w:tcW w:w="625" w:type="dxa"/>
          </w:tcPr>
          <w:p w14:paraId="397B879F" w14:textId="77777777" w:rsidR="00F12923" w:rsidRPr="00B4211E" w:rsidRDefault="00F12923" w:rsidP="008E4453">
            <w:pPr>
              <w:pStyle w:val="TableText"/>
            </w:pPr>
            <w:r w:rsidRPr="00B4211E">
              <w:rPr>
                <w:rtl/>
              </w:rPr>
              <w:t>2.</w:t>
            </w:r>
          </w:p>
        </w:tc>
        <w:tc>
          <w:tcPr>
            <w:tcW w:w="7142" w:type="dxa"/>
            <w:gridSpan w:val="2"/>
          </w:tcPr>
          <w:p w14:paraId="530EA245" w14:textId="77777777" w:rsidR="00F12923" w:rsidRPr="00B4211E" w:rsidRDefault="00F12923" w:rsidP="001E078B">
            <w:pPr>
              <w:pStyle w:val="TableBlock"/>
            </w:pPr>
            <w:r w:rsidRPr="00B4211E">
              <w:rPr>
                <w:rtl/>
              </w:rPr>
              <w:t>בסעיף 28</w:t>
            </w:r>
            <w:r w:rsidRPr="00B4211E">
              <w:rPr>
                <w:rFonts w:hint="cs"/>
                <w:rtl/>
              </w:rPr>
              <w:t xml:space="preserve"> </w:t>
            </w:r>
            <w:r w:rsidRPr="00B4211E">
              <w:rPr>
                <w:rtl/>
              </w:rPr>
              <w:t>לחוק העיקרי</w:t>
            </w:r>
            <w:r w:rsidRPr="00B4211E">
              <w:rPr>
                <w:rFonts w:hint="cs"/>
                <w:rtl/>
              </w:rPr>
              <w:t xml:space="preserve"> </w:t>
            </w:r>
            <w:r w:rsidRPr="00B4211E">
              <w:rPr>
                <w:rFonts w:hint="eastAsia"/>
                <w:rtl/>
              </w:rPr>
              <w:t>–</w:t>
            </w:r>
          </w:p>
        </w:tc>
      </w:tr>
      <w:tr w:rsidR="00F12923" w14:paraId="1B6C9147" w14:textId="77777777" w:rsidTr="001E078B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871" w:type="dxa"/>
          </w:tcPr>
          <w:p w14:paraId="499BEC5F" w14:textId="77777777" w:rsidR="00F12923" w:rsidRPr="00B4211E" w:rsidRDefault="00F12923" w:rsidP="008E4453">
            <w:pPr>
              <w:pStyle w:val="TableSideHeading"/>
            </w:pPr>
          </w:p>
        </w:tc>
        <w:tc>
          <w:tcPr>
            <w:tcW w:w="625" w:type="dxa"/>
          </w:tcPr>
          <w:p w14:paraId="7DC7CA41" w14:textId="77777777" w:rsidR="00F12923" w:rsidRPr="00B4211E" w:rsidRDefault="00F12923" w:rsidP="008E4453">
            <w:pPr>
              <w:pStyle w:val="TableText"/>
            </w:pPr>
          </w:p>
        </w:tc>
        <w:tc>
          <w:tcPr>
            <w:tcW w:w="624" w:type="dxa"/>
          </w:tcPr>
          <w:p w14:paraId="74A72655" w14:textId="77777777" w:rsidR="00F12923" w:rsidRPr="001E078B" w:rsidRDefault="00F12923" w:rsidP="001E078B">
            <w:pPr>
              <w:pStyle w:val="TableText"/>
              <w:jc w:val="both"/>
            </w:pPr>
          </w:p>
        </w:tc>
        <w:tc>
          <w:tcPr>
            <w:tcW w:w="6518" w:type="dxa"/>
          </w:tcPr>
          <w:p w14:paraId="4B767B7F" w14:textId="77777777" w:rsidR="00F12923" w:rsidRPr="00B4211E" w:rsidRDefault="00F12923" w:rsidP="001E078B">
            <w:pPr>
              <w:pStyle w:val="TableBlock"/>
            </w:pPr>
            <w:r w:rsidRPr="00B4211E">
              <w:rPr>
                <w:rFonts w:hint="cs"/>
                <w:rtl/>
              </w:rPr>
              <w:t>(1)</w:t>
            </w:r>
            <w:r w:rsidRPr="00B4211E">
              <w:rPr>
                <w:rtl/>
              </w:rPr>
              <w:tab/>
            </w:r>
            <w:r w:rsidRPr="00B4211E">
              <w:rPr>
                <w:rFonts w:hint="cs"/>
                <w:rtl/>
              </w:rPr>
              <w:t xml:space="preserve">בסעיף קטן (א)(1), בכל מקום, המילים "וכל עוד לא נישא בן הזוג" </w:t>
            </w:r>
            <w:r w:rsidRPr="00B4211E">
              <w:rPr>
                <w:rtl/>
              </w:rPr>
              <w:t>–</w:t>
            </w:r>
            <w:r w:rsidRPr="00B4211E">
              <w:rPr>
                <w:rFonts w:hint="cs"/>
                <w:rtl/>
              </w:rPr>
              <w:t xml:space="preserve"> יימחקו;</w:t>
            </w:r>
          </w:p>
        </w:tc>
      </w:tr>
      <w:tr w:rsidR="00F12923" w14:paraId="20DAD027" w14:textId="77777777" w:rsidTr="001E078B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871" w:type="dxa"/>
          </w:tcPr>
          <w:p w14:paraId="2F0E17FA" w14:textId="77777777" w:rsidR="00F12923" w:rsidRPr="00B4211E" w:rsidRDefault="00F12923" w:rsidP="008E4453">
            <w:pPr>
              <w:pStyle w:val="TableSideHeading"/>
              <w:rPr>
                <w:rtl/>
              </w:rPr>
            </w:pPr>
          </w:p>
        </w:tc>
        <w:tc>
          <w:tcPr>
            <w:tcW w:w="625" w:type="dxa"/>
          </w:tcPr>
          <w:p w14:paraId="4ABA9ABA" w14:textId="77777777" w:rsidR="00F12923" w:rsidRPr="00B4211E" w:rsidRDefault="00F12923" w:rsidP="008E4453">
            <w:pPr>
              <w:pStyle w:val="TableText"/>
            </w:pPr>
          </w:p>
        </w:tc>
        <w:tc>
          <w:tcPr>
            <w:tcW w:w="624" w:type="dxa"/>
          </w:tcPr>
          <w:p w14:paraId="73CEA14B" w14:textId="77777777" w:rsidR="00F12923" w:rsidRPr="001E078B" w:rsidRDefault="00F12923" w:rsidP="001E078B">
            <w:pPr>
              <w:pStyle w:val="TableText"/>
              <w:jc w:val="both"/>
            </w:pPr>
          </w:p>
        </w:tc>
        <w:tc>
          <w:tcPr>
            <w:tcW w:w="6518" w:type="dxa"/>
          </w:tcPr>
          <w:p w14:paraId="590E9E46" w14:textId="77777777" w:rsidR="00F12923" w:rsidRPr="00B4211E" w:rsidRDefault="00F12923" w:rsidP="001E078B">
            <w:pPr>
              <w:pStyle w:val="TableBlock"/>
              <w:rPr>
                <w:rtl/>
              </w:rPr>
            </w:pPr>
            <w:r w:rsidRPr="00B4211E">
              <w:rPr>
                <w:rFonts w:hint="cs"/>
                <w:rtl/>
              </w:rPr>
              <w:t>(2)</w:t>
            </w:r>
            <w:r w:rsidRPr="00B4211E">
              <w:rPr>
                <w:rtl/>
              </w:rPr>
              <w:tab/>
            </w:r>
            <w:r w:rsidRPr="00B4211E">
              <w:rPr>
                <w:rFonts w:hint="cs"/>
                <w:rtl/>
              </w:rPr>
              <w:t xml:space="preserve">בסעיף קטן (ה)(1), המילים "כל עוד לא נישא" </w:t>
            </w:r>
            <w:r w:rsidRPr="00B4211E">
              <w:rPr>
                <w:rFonts w:hint="eastAsia"/>
                <w:rtl/>
              </w:rPr>
              <w:t>–</w:t>
            </w:r>
            <w:r w:rsidRPr="00B4211E">
              <w:rPr>
                <w:rFonts w:hint="cs"/>
                <w:rtl/>
              </w:rPr>
              <w:t xml:space="preserve"> יימחקו.</w:t>
            </w:r>
          </w:p>
        </w:tc>
      </w:tr>
      <w:tr w:rsidR="00F12923" w14:paraId="3E839804" w14:textId="77777777" w:rsidTr="001E078B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871" w:type="dxa"/>
          </w:tcPr>
          <w:p w14:paraId="05703127" w14:textId="77777777" w:rsidR="00F12923" w:rsidRPr="00B4211E" w:rsidRDefault="00F12923" w:rsidP="008E4453">
            <w:pPr>
              <w:pStyle w:val="TableSideHeading"/>
            </w:pPr>
            <w:r w:rsidRPr="00B4211E">
              <w:rPr>
                <w:rFonts w:hint="cs"/>
                <w:rtl/>
              </w:rPr>
              <w:t>תיקון סעיף 31</w:t>
            </w:r>
          </w:p>
        </w:tc>
        <w:tc>
          <w:tcPr>
            <w:tcW w:w="625" w:type="dxa"/>
          </w:tcPr>
          <w:p w14:paraId="3C1A557F" w14:textId="77777777" w:rsidR="00F12923" w:rsidRPr="00B4211E" w:rsidRDefault="00F12923" w:rsidP="008E4453">
            <w:pPr>
              <w:pStyle w:val="TableText"/>
            </w:pPr>
            <w:r w:rsidRPr="00B4211E">
              <w:rPr>
                <w:rFonts w:hint="cs"/>
                <w:rtl/>
              </w:rPr>
              <w:t>3.</w:t>
            </w:r>
          </w:p>
        </w:tc>
        <w:tc>
          <w:tcPr>
            <w:tcW w:w="7142" w:type="dxa"/>
            <w:gridSpan w:val="2"/>
          </w:tcPr>
          <w:p w14:paraId="594EC90B" w14:textId="77777777" w:rsidR="00F12923" w:rsidRPr="00B4211E" w:rsidRDefault="00F12923" w:rsidP="001E078B">
            <w:pPr>
              <w:pStyle w:val="TableBlock"/>
            </w:pPr>
            <w:r w:rsidRPr="00B4211E">
              <w:rPr>
                <w:rFonts w:hint="cs"/>
                <w:rtl/>
              </w:rPr>
              <w:t xml:space="preserve">בסעיף 31 לחוק העיקרי </w:t>
            </w:r>
            <w:r w:rsidRPr="00B4211E">
              <w:rPr>
                <w:rFonts w:hint="eastAsia"/>
                <w:rtl/>
              </w:rPr>
              <w:t>–</w:t>
            </w:r>
          </w:p>
        </w:tc>
      </w:tr>
      <w:tr w:rsidR="00F12923" w14:paraId="4ABD39DF" w14:textId="77777777" w:rsidTr="001E078B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871" w:type="dxa"/>
          </w:tcPr>
          <w:p w14:paraId="596BB64E" w14:textId="77777777" w:rsidR="00F12923" w:rsidRPr="00B4211E" w:rsidRDefault="00F12923" w:rsidP="008E4453">
            <w:pPr>
              <w:pStyle w:val="TableSideHeading"/>
              <w:rPr>
                <w:rtl/>
              </w:rPr>
            </w:pPr>
          </w:p>
        </w:tc>
        <w:tc>
          <w:tcPr>
            <w:tcW w:w="625" w:type="dxa"/>
          </w:tcPr>
          <w:p w14:paraId="143DBAE9" w14:textId="77777777" w:rsidR="00F12923" w:rsidRPr="00B4211E" w:rsidRDefault="00F12923" w:rsidP="008E4453">
            <w:pPr>
              <w:pStyle w:val="TableText"/>
              <w:rPr>
                <w:rtl/>
              </w:rPr>
            </w:pPr>
          </w:p>
        </w:tc>
        <w:tc>
          <w:tcPr>
            <w:tcW w:w="7142" w:type="dxa"/>
            <w:gridSpan w:val="2"/>
          </w:tcPr>
          <w:p w14:paraId="1F3837B1" w14:textId="77777777" w:rsidR="00F12923" w:rsidRPr="00B4211E" w:rsidRDefault="00F12923" w:rsidP="001E078B">
            <w:pPr>
              <w:pStyle w:val="TableBlock"/>
              <w:rPr>
                <w:rtl/>
              </w:rPr>
            </w:pPr>
            <w:r w:rsidRPr="00B4211E">
              <w:rPr>
                <w:rFonts w:hint="cs"/>
                <w:rtl/>
              </w:rPr>
              <w:t>(1)</w:t>
            </w:r>
            <w:r w:rsidRPr="00B4211E">
              <w:rPr>
                <w:rtl/>
              </w:rPr>
              <w:tab/>
            </w:r>
            <w:r w:rsidRPr="00B4211E">
              <w:rPr>
                <w:rFonts w:hint="cs"/>
                <w:rtl/>
              </w:rPr>
              <w:t xml:space="preserve">בסעיף קטן (א), אחרי "בן-זוג" ואחרי "ובבן זוג" יבוא "לשעבר, או פרוד של קבע שניתן לגביו פסק דין לאיזון"; </w:t>
            </w:r>
          </w:p>
        </w:tc>
      </w:tr>
      <w:tr w:rsidR="00F12923" w14:paraId="2C21AB42" w14:textId="77777777" w:rsidTr="001E078B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871" w:type="dxa"/>
          </w:tcPr>
          <w:p w14:paraId="5861FF2B" w14:textId="77777777" w:rsidR="00F12923" w:rsidRPr="00B4211E" w:rsidRDefault="00F12923" w:rsidP="008E4453">
            <w:pPr>
              <w:pStyle w:val="TableSideHeading"/>
              <w:rPr>
                <w:rtl/>
              </w:rPr>
            </w:pPr>
          </w:p>
        </w:tc>
        <w:tc>
          <w:tcPr>
            <w:tcW w:w="625" w:type="dxa"/>
          </w:tcPr>
          <w:p w14:paraId="428708AF" w14:textId="77777777" w:rsidR="00F12923" w:rsidRPr="00B4211E" w:rsidRDefault="00F12923" w:rsidP="008E4453">
            <w:pPr>
              <w:pStyle w:val="TableText"/>
              <w:rPr>
                <w:rtl/>
              </w:rPr>
            </w:pPr>
          </w:p>
        </w:tc>
        <w:tc>
          <w:tcPr>
            <w:tcW w:w="7142" w:type="dxa"/>
            <w:gridSpan w:val="2"/>
          </w:tcPr>
          <w:p w14:paraId="51650946" w14:textId="77777777" w:rsidR="00F12923" w:rsidRPr="00B4211E" w:rsidRDefault="00F12923" w:rsidP="001E078B">
            <w:pPr>
              <w:pStyle w:val="TableBlock"/>
              <w:rPr>
                <w:rtl/>
              </w:rPr>
            </w:pPr>
            <w:r w:rsidRPr="00B4211E">
              <w:rPr>
                <w:rFonts w:hint="cs"/>
                <w:rtl/>
              </w:rPr>
              <w:t>(2)</w:t>
            </w:r>
            <w:r w:rsidRPr="00B4211E">
              <w:rPr>
                <w:rtl/>
              </w:rPr>
              <w:tab/>
            </w:r>
            <w:r w:rsidRPr="00B4211E">
              <w:rPr>
                <w:rFonts w:hint="cs"/>
                <w:rtl/>
              </w:rPr>
              <w:t>בכל מקום, אחרי "לבן זוג" יבוא "לשעבר, או פרוד של קבע שניתן לגביו פסק דין לאיזון";</w:t>
            </w:r>
          </w:p>
        </w:tc>
      </w:tr>
      <w:tr w:rsidR="00F12923" w14:paraId="7E6CE7D3" w14:textId="77777777" w:rsidTr="001E078B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871" w:type="dxa"/>
          </w:tcPr>
          <w:p w14:paraId="22B3BAE0" w14:textId="77777777" w:rsidR="00F12923" w:rsidRPr="00B4211E" w:rsidRDefault="00F12923" w:rsidP="008E4453">
            <w:pPr>
              <w:pStyle w:val="TableSideHeading"/>
              <w:rPr>
                <w:rtl/>
              </w:rPr>
            </w:pPr>
          </w:p>
        </w:tc>
        <w:tc>
          <w:tcPr>
            <w:tcW w:w="625" w:type="dxa"/>
          </w:tcPr>
          <w:p w14:paraId="6414EA2E" w14:textId="77777777" w:rsidR="00F12923" w:rsidRPr="00B4211E" w:rsidRDefault="00F12923" w:rsidP="008E4453">
            <w:pPr>
              <w:pStyle w:val="TableText"/>
              <w:rPr>
                <w:rtl/>
              </w:rPr>
            </w:pPr>
          </w:p>
        </w:tc>
        <w:tc>
          <w:tcPr>
            <w:tcW w:w="7142" w:type="dxa"/>
            <w:gridSpan w:val="2"/>
          </w:tcPr>
          <w:p w14:paraId="1168D981" w14:textId="77777777" w:rsidR="00F12923" w:rsidRPr="00B4211E" w:rsidRDefault="00F12923" w:rsidP="001E078B">
            <w:pPr>
              <w:pStyle w:val="TableBlock"/>
              <w:rPr>
                <w:rtl/>
              </w:rPr>
            </w:pPr>
            <w:r w:rsidRPr="00B4211E">
              <w:rPr>
                <w:rFonts w:hint="cs"/>
                <w:rtl/>
              </w:rPr>
              <w:t>(3)</w:t>
            </w:r>
            <w:r w:rsidRPr="00B4211E">
              <w:rPr>
                <w:rtl/>
              </w:rPr>
              <w:tab/>
            </w:r>
            <w:r w:rsidRPr="00B4211E">
              <w:rPr>
                <w:rFonts w:hint="cs"/>
                <w:rtl/>
              </w:rPr>
              <w:t>בכל מקום, אחרי  "הזוג" יבוא "לשעבר, או פרוד של קבע שניתן לגביו פסק דין לאיזון";</w:t>
            </w:r>
          </w:p>
        </w:tc>
      </w:tr>
      <w:tr w:rsidR="00F12923" w14:paraId="1F259F2B" w14:textId="77777777" w:rsidTr="001E078B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871" w:type="dxa"/>
          </w:tcPr>
          <w:p w14:paraId="3306922C" w14:textId="77777777" w:rsidR="00F12923" w:rsidRPr="00B4211E" w:rsidRDefault="00F12923" w:rsidP="008E4453">
            <w:pPr>
              <w:pStyle w:val="TableSideHeading"/>
              <w:rPr>
                <w:rtl/>
              </w:rPr>
            </w:pPr>
          </w:p>
        </w:tc>
        <w:tc>
          <w:tcPr>
            <w:tcW w:w="625" w:type="dxa"/>
          </w:tcPr>
          <w:p w14:paraId="1E227A07" w14:textId="77777777" w:rsidR="00F12923" w:rsidRPr="00B4211E" w:rsidRDefault="00F12923" w:rsidP="008E4453">
            <w:pPr>
              <w:pStyle w:val="TableText"/>
              <w:rPr>
                <w:rtl/>
              </w:rPr>
            </w:pPr>
          </w:p>
        </w:tc>
        <w:tc>
          <w:tcPr>
            <w:tcW w:w="7142" w:type="dxa"/>
            <w:gridSpan w:val="2"/>
          </w:tcPr>
          <w:p w14:paraId="2BB0226E" w14:textId="77777777" w:rsidR="00F12923" w:rsidRPr="00B4211E" w:rsidRDefault="00F12923" w:rsidP="001E078B">
            <w:pPr>
              <w:pStyle w:val="TableBlock"/>
              <w:rPr>
                <w:rtl/>
              </w:rPr>
            </w:pPr>
            <w:r w:rsidRPr="00B4211E">
              <w:rPr>
                <w:rFonts w:hint="cs"/>
                <w:rtl/>
              </w:rPr>
              <w:t>(4)</w:t>
            </w:r>
            <w:r w:rsidRPr="00B4211E">
              <w:rPr>
                <w:rtl/>
              </w:rPr>
              <w:tab/>
            </w:r>
            <w:r w:rsidRPr="00B4211E">
              <w:rPr>
                <w:rFonts w:hint="cs"/>
                <w:rtl/>
              </w:rPr>
              <w:t xml:space="preserve">סעיף קטן (ז) </w:t>
            </w:r>
            <w:r w:rsidRPr="00B4211E">
              <w:rPr>
                <w:rFonts w:hint="eastAsia"/>
                <w:rtl/>
              </w:rPr>
              <w:t>–</w:t>
            </w:r>
            <w:r w:rsidRPr="00B4211E">
              <w:rPr>
                <w:rFonts w:hint="cs"/>
                <w:rtl/>
              </w:rPr>
              <w:t xml:space="preserve"> בטל.</w:t>
            </w:r>
          </w:p>
        </w:tc>
      </w:tr>
      <w:tr w:rsidR="00F12923" w14:paraId="107997A6" w14:textId="77777777" w:rsidTr="001E078B">
        <w:trPr>
          <w:cantSplit/>
        </w:trPr>
        <w:tc>
          <w:tcPr>
            <w:tcW w:w="1871" w:type="dxa"/>
          </w:tcPr>
          <w:p w14:paraId="0157F9DC" w14:textId="77777777" w:rsidR="00F12923" w:rsidRPr="00B4211E" w:rsidRDefault="00F12923" w:rsidP="008E4453">
            <w:pPr>
              <w:pStyle w:val="TableSideHeading"/>
              <w:rPr>
                <w:rtl/>
              </w:rPr>
            </w:pPr>
            <w:r w:rsidRPr="00B4211E">
              <w:rPr>
                <w:rtl/>
              </w:rPr>
              <w:t xml:space="preserve">תיקון סעיף 78 </w:t>
            </w:r>
          </w:p>
        </w:tc>
        <w:tc>
          <w:tcPr>
            <w:tcW w:w="625" w:type="dxa"/>
          </w:tcPr>
          <w:p w14:paraId="27191A1B" w14:textId="77777777" w:rsidR="00F12923" w:rsidRPr="00B4211E" w:rsidRDefault="00F12923" w:rsidP="008E4453">
            <w:pPr>
              <w:pStyle w:val="TableText"/>
              <w:rPr>
                <w:rtl/>
              </w:rPr>
            </w:pPr>
            <w:r w:rsidRPr="00B4211E">
              <w:rPr>
                <w:rtl/>
              </w:rPr>
              <w:t xml:space="preserve">4.          </w:t>
            </w:r>
          </w:p>
        </w:tc>
        <w:tc>
          <w:tcPr>
            <w:tcW w:w="7142" w:type="dxa"/>
            <w:gridSpan w:val="2"/>
          </w:tcPr>
          <w:p w14:paraId="090B4598" w14:textId="77777777" w:rsidR="00F12923" w:rsidRPr="00B4211E" w:rsidRDefault="00F12923" w:rsidP="001E078B">
            <w:pPr>
              <w:pStyle w:val="TableBlock"/>
              <w:rPr>
                <w:rtl/>
              </w:rPr>
            </w:pPr>
            <w:r w:rsidRPr="00B4211E">
              <w:rPr>
                <w:rtl/>
              </w:rPr>
              <w:t xml:space="preserve">בסעיף 78(ג) לחוק העיקרי –  </w:t>
            </w:r>
          </w:p>
        </w:tc>
      </w:tr>
      <w:tr w:rsidR="00F12923" w14:paraId="1B3A2857" w14:textId="77777777" w:rsidTr="001E078B">
        <w:trPr>
          <w:cantSplit/>
        </w:trPr>
        <w:tc>
          <w:tcPr>
            <w:tcW w:w="1871" w:type="dxa"/>
          </w:tcPr>
          <w:p w14:paraId="23BB78B6" w14:textId="77777777" w:rsidR="00F12923" w:rsidRPr="00312C50" w:rsidRDefault="00F12923" w:rsidP="008E4453">
            <w:pPr>
              <w:pStyle w:val="TableSideHeading"/>
              <w:rPr>
                <w:sz w:val="26"/>
                <w:rtl/>
              </w:rPr>
            </w:pPr>
          </w:p>
        </w:tc>
        <w:tc>
          <w:tcPr>
            <w:tcW w:w="625" w:type="dxa"/>
          </w:tcPr>
          <w:p w14:paraId="6A129F31" w14:textId="77777777" w:rsidR="00F12923" w:rsidRPr="00B4211E" w:rsidRDefault="00F12923" w:rsidP="008E4453">
            <w:pPr>
              <w:pStyle w:val="TableText"/>
              <w:rPr>
                <w:rtl/>
              </w:rPr>
            </w:pPr>
          </w:p>
        </w:tc>
        <w:tc>
          <w:tcPr>
            <w:tcW w:w="7142" w:type="dxa"/>
            <w:gridSpan w:val="2"/>
          </w:tcPr>
          <w:p w14:paraId="6771FE6A" w14:textId="77777777" w:rsidR="00F12923" w:rsidRPr="00B4211E" w:rsidRDefault="00F12923" w:rsidP="001E078B">
            <w:pPr>
              <w:pStyle w:val="TableBlock"/>
              <w:rPr>
                <w:rtl/>
              </w:rPr>
            </w:pPr>
            <w:r w:rsidRPr="00B4211E">
              <w:rPr>
                <w:rtl/>
              </w:rPr>
              <w:t>(1)</w:t>
            </w:r>
            <w:r w:rsidRPr="00B4211E">
              <w:rPr>
                <w:rtl/>
              </w:rPr>
              <w:tab/>
              <w:t xml:space="preserve">בפסקה (1), </w:t>
            </w:r>
            <w:r w:rsidRPr="00B4211E">
              <w:rPr>
                <w:rFonts w:hint="cs"/>
                <w:rtl/>
              </w:rPr>
              <w:t>המילים</w:t>
            </w:r>
            <w:r w:rsidRPr="00B4211E">
              <w:rPr>
                <w:rtl/>
              </w:rPr>
              <w:t xml:space="preserve"> "כל עוד לא נישא" </w:t>
            </w:r>
            <w:r w:rsidRPr="00B4211E">
              <w:rPr>
                <w:rFonts w:hint="cs"/>
                <w:rtl/>
              </w:rPr>
              <w:t xml:space="preserve"> </w:t>
            </w:r>
            <w:r w:rsidRPr="00B4211E">
              <w:rPr>
                <w:rFonts w:hint="eastAsia"/>
                <w:rtl/>
              </w:rPr>
              <w:t>–</w:t>
            </w:r>
            <w:r w:rsidRPr="00B4211E">
              <w:rPr>
                <w:rFonts w:hint="cs"/>
                <w:rtl/>
              </w:rPr>
              <w:t xml:space="preserve"> יימחקו</w:t>
            </w:r>
            <w:r w:rsidRPr="00B4211E">
              <w:rPr>
                <w:rtl/>
              </w:rPr>
              <w:t>;</w:t>
            </w:r>
          </w:p>
        </w:tc>
      </w:tr>
      <w:tr w:rsidR="00F12923" w14:paraId="21CC9084" w14:textId="77777777" w:rsidTr="001E078B">
        <w:trPr>
          <w:cantSplit/>
        </w:trPr>
        <w:tc>
          <w:tcPr>
            <w:tcW w:w="1871" w:type="dxa"/>
          </w:tcPr>
          <w:p w14:paraId="212A4070" w14:textId="77777777" w:rsidR="00F12923" w:rsidRDefault="00F12923" w:rsidP="008E4453">
            <w:pPr>
              <w:pStyle w:val="TableSideHeading"/>
              <w:rPr>
                <w:sz w:val="26"/>
                <w:rtl/>
              </w:rPr>
            </w:pPr>
          </w:p>
        </w:tc>
        <w:tc>
          <w:tcPr>
            <w:tcW w:w="625" w:type="dxa"/>
          </w:tcPr>
          <w:p w14:paraId="6CF6D051" w14:textId="77777777" w:rsidR="00F12923" w:rsidRPr="00B4211E" w:rsidRDefault="00F12923" w:rsidP="008E4453">
            <w:pPr>
              <w:pStyle w:val="TableText"/>
              <w:rPr>
                <w:rtl/>
              </w:rPr>
            </w:pPr>
          </w:p>
        </w:tc>
        <w:tc>
          <w:tcPr>
            <w:tcW w:w="7142" w:type="dxa"/>
            <w:gridSpan w:val="2"/>
          </w:tcPr>
          <w:p w14:paraId="53A2A624" w14:textId="77777777" w:rsidR="00F12923" w:rsidRPr="00B4211E" w:rsidRDefault="00F12923" w:rsidP="001E078B">
            <w:pPr>
              <w:pStyle w:val="TableBlock"/>
              <w:rPr>
                <w:rtl/>
              </w:rPr>
            </w:pPr>
            <w:r w:rsidRPr="00B4211E">
              <w:rPr>
                <w:rtl/>
              </w:rPr>
              <w:t>(2)</w:t>
            </w:r>
            <w:r w:rsidRPr="00B4211E">
              <w:rPr>
                <w:rtl/>
              </w:rPr>
              <w:tab/>
              <w:t>פסקה (4) – תימחק.</w:t>
            </w:r>
          </w:p>
        </w:tc>
      </w:tr>
    </w:tbl>
    <w:p w14:paraId="4B018B23" w14:textId="77777777" w:rsidR="00F12923" w:rsidRDefault="00F12923" w:rsidP="00F12923">
      <w:pPr>
        <w:pStyle w:val="HeadDivreiHesber"/>
        <w:rPr>
          <w:rtl/>
        </w:rPr>
      </w:pPr>
      <w:r w:rsidRPr="0027450A">
        <w:rPr>
          <w:rFonts w:hint="cs"/>
          <w:rtl/>
        </w:rPr>
        <w:lastRenderedPageBreak/>
        <w:t>דברי הסבר</w:t>
      </w:r>
    </w:p>
    <w:p w14:paraId="15439DED" w14:textId="732285B0" w:rsidR="00F12923" w:rsidRPr="0039235F" w:rsidRDefault="00F12923" w:rsidP="00F12923">
      <w:pPr>
        <w:pStyle w:val="Hesber"/>
        <w:rPr>
          <w:rtl/>
        </w:rPr>
      </w:pPr>
      <w:r w:rsidRPr="0039235F">
        <w:rPr>
          <w:rFonts w:hint="cs"/>
          <w:rtl/>
        </w:rPr>
        <w:t>סעיף 26(א) ל</w:t>
      </w:r>
      <w:r w:rsidRPr="0039235F">
        <w:rPr>
          <w:rtl/>
        </w:rPr>
        <w:t xml:space="preserve">חוק </w:t>
      </w:r>
      <w:r w:rsidRPr="0039235F">
        <w:rPr>
          <w:rFonts w:hint="cs"/>
          <w:rtl/>
        </w:rPr>
        <w:t>שירות המדינה (ג</w:t>
      </w:r>
      <w:bookmarkStart w:id="8" w:name="_GoBack"/>
      <w:bookmarkEnd w:id="8"/>
      <w:r w:rsidRPr="0039235F">
        <w:rPr>
          <w:rFonts w:hint="cs"/>
          <w:rtl/>
        </w:rPr>
        <w:t xml:space="preserve">מלאות) </w:t>
      </w:r>
      <w:r w:rsidRPr="00B4211E">
        <w:rPr>
          <w:rtl/>
        </w:rPr>
        <w:t>[נוסח משולב], התש"ל–1970</w:t>
      </w:r>
      <w:r>
        <w:rPr>
          <w:rFonts w:hint="cs"/>
          <w:rtl/>
        </w:rPr>
        <w:t xml:space="preserve">, </w:t>
      </w:r>
      <w:r w:rsidRPr="0039235F">
        <w:rPr>
          <w:rFonts w:hint="cs"/>
          <w:rtl/>
        </w:rPr>
        <w:t xml:space="preserve">קובע שאם נפטר עובד מדינה לאחר שלוש שנות עבודה לפחות בשירות המדינה, תשולם לתלויים </w:t>
      </w:r>
      <w:r>
        <w:rPr>
          <w:rFonts w:hint="cs"/>
          <w:rtl/>
        </w:rPr>
        <w:t xml:space="preserve">בו קצבה באחוזים ממשכורתו הקובעת. </w:t>
      </w:r>
      <w:r w:rsidRPr="0039235F">
        <w:rPr>
          <w:rFonts w:hint="cs"/>
          <w:rtl/>
        </w:rPr>
        <w:t>ככל שמדובר בבני זוג, קובע החוק היום, שהקצבה תשולם לאלמן (או לאלמנה) "כל עוד לא נישא". כלומר, אם</w:t>
      </w:r>
      <w:r w:rsidRPr="0039235F">
        <w:rPr>
          <w:rtl/>
        </w:rPr>
        <w:t xml:space="preserve"> מבקש</w:t>
      </w:r>
      <w:r w:rsidRPr="0039235F">
        <w:rPr>
          <w:rFonts w:hint="cs"/>
          <w:rtl/>
        </w:rPr>
        <w:t xml:space="preserve"> בן הזוג</w:t>
      </w:r>
      <w:r w:rsidRPr="0039235F">
        <w:rPr>
          <w:rtl/>
        </w:rPr>
        <w:t xml:space="preserve"> להינשא בשנית, נשללת הקצבה לה הי</w:t>
      </w:r>
      <w:r w:rsidRPr="0039235F">
        <w:rPr>
          <w:rFonts w:hint="cs"/>
          <w:rtl/>
        </w:rPr>
        <w:t>ה</w:t>
      </w:r>
      <w:r w:rsidRPr="0039235F">
        <w:rPr>
          <w:rtl/>
        </w:rPr>
        <w:t xml:space="preserve"> זכאי קודם לכן.</w:t>
      </w:r>
    </w:p>
    <w:p w14:paraId="5E0E4943" w14:textId="77777777" w:rsidR="00F12923" w:rsidRPr="0039235F" w:rsidRDefault="00F12923" w:rsidP="00F12923">
      <w:pPr>
        <w:pStyle w:val="Hesber"/>
        <w:rPr>
          <w:rtl/>
        </w:rPr>
      </w:pPr>
      <w:r w:rsidRPr="0039235F">
        <w:rPr>
          <w:rtl/>
        </w:rPr>
        <w:t>מצב דברים זה מביא לכך שאלמנות ואלמנים רבים נאלצים לבחור בין הקצבה המוענקת להם מכ</w:t>
      </w:r>
      <w:r w:rsidRPr="0039235F">
        <w:rPr>
          <w:rFonts w:hint="cs"/>
          <w:rtl/>
        </w:rPr>
        <w:t>ו</w:t>
      </w:r>
      <w:r w:rsidRPr="0039235F">
        <w:rPr>
          <w:rtl/>
        </w:rPr>
        <w:t>ח החוק בשל מות בני זוגם</w:t>
      </w:r>
      <w:r w:rsidRPr="0039235F">
        <w:rPr>
          <w:rFonts w:hint="cs"/>
          <w:rtl/>
        </w:rPr>
        <w:t>,</w:t>
      </w:r>
      <w:r w:rsidRPr="0039235F">
        <w:rPr>
          <w:rtl/>
        </w:rPr>
        <w:t xml:space="preserve"> </w:t>
      </w:r>
      <w:r w:rsidRPr="0039235F">
        <w:rPr>
          <w:rFonts w:hint="cs"/>
          <w:rtl/>
        </w:rPr>
        <w:t xml:space="preserve">שגיבשו את הזכות בהיותם עובדי מדינה במשך שנים, </w:t>
      </w:r>
      <w:r w:rsidRPr="0039235F">
        <w:rPr>
          <w:rtl/>
        </w:rPr>
        <w:t xml:space="preserve">ואשר מהווה מבחינתם </w:t>
      </w:r>
      <w:r w:rsidRPr="0039235F">
        <w:rPr>
          <w:rFonts w:hint="cs"/>
          <w:rtl/>
        </w:rPr>
        <w:t>תמיכה כלכלית</w:t>
      </w:r>
      <w:r w:rsidRPr="0039235F">
        <w:rPr>
          <w:rtl/>
        </w:rPr>
        <w:t xml:space="preserve">, לבין רצונם </w:t>
      </w:r>
      <w:r w:rsidRPr="0039235F">
        <w:rPr>
          <w:rFonts w:hint="cs"/>
          <w:rtl/>
        </w:rPr>
        <w:t>להינשא, להקים משפחה חדשה ולהמשיך בחיים על אף האובדן שחוו.</w:t>
      </w:r>
      <w:r w:rsidRPr="0039235F">
        <w:rPr>
          <w:rtl/>
        </w:rPr>
        <w:t xml:space="preserve"> </w:t>
      </w:r>
    </w:p>
    <w:p w14:paraId="651D8A12" w14:textId="77777777" w:rsidR="00F12923" w:rsidRPr="0039235F" w:rsidRDefault="00F12923" w:rsidP="00F12923">
      <w:pPr>
        <w:pStyle w:val="Hesber"/>
        <w:rPr>
          <w:rtl/>
        </w:rPr>
      </w:pPr>
      <w:r w:rsidRPr="0039235F">
        <w:rPr>
          <w:rFonts w:hint="cs"/>
          <w:rtl/>
        </w:rPr>
        <w:t>בשל</w:t>
      </w:r>
      <w:r w:rsidRPr="0039235F">
        <w:rPr>
          <w:rtl/>
        </w:rPr>
        <w:t xml:space="preserve"> חשש ממשי לפגיעה כלכלית</w:t>
      </w:r>
      <w:r w:rsidRPr="0039235F">
        <w:rPr>
          <w:rFonts w:hint="cs"/>
          <w:rtl/>
        </w:rPr>
        <w:t xml:space="preserve">, </w:t>
      </w:r>
      <w:r w:rsidRPr="0039235F">
        <w:rPr>
          <w:rtl/>
        </w:rPr>
        <w:t>רבים מן האלמנים</w:t>
      </w:r>
      <w:r w:rsidRPr="0039235F">
        <w:rPr>
          <w:rFonts w:hint="cs"/>
          <w:rtl/>
        </w:rPr>
        <w:t xml:space="preserve"> והאלמנות</w:t>
      </w:r>
      <w:r w:rsidRPr="0039235F">
        <w:rPr>
          <w:rtl/>
        </w:rPr>
        <w:t xml:space="preserve"> בוחרים שלא </w:t>
      </w:r>
      <w:r w:rsidRPr="0039235F">
        <w:rPr>
          <w:rFonts w:hint="cs"/>
          <w:rtl/>
        </w:rPr>
        <w:t xml:space="preserve">להינשא שוב </w:t>
      </w:r>
      <w:r w:rsidRPr="0039235F">
        <w:rPr>
          <w:rtl/>
        </w:rPr>
        <w:t>ובכך הופכים בעל כורחם למשפחה חד הורית. לחילופין,</w:t>
      </w:r>
      <w:r w:rsidRPr="0039235F">
        <w:rPr>
          <w:rFonts w:hint="cs"/>
          <w:rtl/>
        </w:rPr>
        <w:t xml:space="preserve"> </w:t>
      </w:r>
      <w:r w:rsidRPr="0039235F">
        <w:rPr>
          <w:rtl/>
        </w:rPr>
        <w:t>יש המתמודדים עם מצב זה באמצעות יצירת מסגרת משפחתית חלופית לזוגיות המקובלת כיום</w:t>
      </w:r>
      <w:r w:rsidRPr="0039235F">
        <w:rPr>
          <w:rFonts w:hint="cs"/>
          <w:rtl/>
        </w:rPr>
        <w:t xml:space="preserve"> </w:t>
      </w:r>
      <w:r w:rsidRPr="0039235F">
        <w:rPr>
          <w:rtl/>
        </w:rPr>
        <w:t xml:space="preserve">ונמנעים ממיסוד קשריהם </w:t>
      </w:r>
      <w:r w:rsidRPr="0039235F">
        <w:rPr>
          <w:rFonts w:hint="cs"/>
          <w:rtl/>
        </w:rPr>
        <w:t>או שנמנעים מרישום מסודר של עובדת נישואיהם, מה שפו</w:t>
      </w:r>
      <w:r>
        <w:rPr>
          <w:rFonts w:hint="cs"/>
          <w:rtl/>
        </w:rPr>
        <w:t>גע בדייקנות מרשמי המדינה שעניינם מצב משפחתי</w:t>
      </w:r>
      <w:r w:rsidRPr="0039235F">
        <w:rPr>
          <w:rtl/>
        </w:rPr>
        <w:t>.</w:t>
      </w:r>
    </w:p>
    <w:p w14:paraId="3946C29C" w14:textId="77777777" w:rsidR="00F12923" w:rsidRPr="0039235F" w:rsidRDefault="00F12923" w:rsidP="00F12923">
      <w:pPr>
        <w:pStyle w:val="Hesber"/>
        <w:rPr>
          <w:rtl/>
        </w:rPr>
      </w:pPr>
      <w:r w:rsidRPr="0039235F">
        <w:rPr>
          <w:rFonts w:hint="cs"/>
          <w:rtl/>
        </w:rPr>
        <w:t>מטרתה של הצעת חוק זו היא</w:t>
      </w:r>
      <w:r>
        <w:rPr>
          <w:rtl/>
        </w:rPr>
        <w:t xml:space="preserve"> לסייע </w:t>
      </w:r>
      <w:r>
        <w:rPr>
          <w:rFonts w:hint="cs"/>
          <w:rtl/>
        </w:rPr>
        <w:t>ל</w:t>
      </w:r>
      <w:r w:rsidRPr="0039235F">
        <w:rPr>
          <w:rtl/>
        </w:rPr>
        <w:t>אלמנים</w:t>
      </w:r>
      <w:r>
        <w:rPr>
          <w:rFonts w:hint="cs"/>
          <w:rtl/>
        </w:rPr>
        <w:t xml:space="preserve"> ול</w:t>
      </w:r>
      <w:r w:rsidRPr="0039235F">
        <w:rPr>
          <w:rFonts w:hint="cs"/>
          <w:rtl/>
        </w:rPr>
        <w:t>אלמנות</w:t>
      </w:r>
      <w:r w:rsidRPr="0039235F">
        <w:rPr>
          <w:rtl/>
        </w:rPr>
        <w:t xml:space="preserve"> להיחלץ מהמצב </w:t>
      </w:r>
      <w:r w:rsidRPr="0039235F">
        <w:rPr>
          <w:rFonts w:hint="cs"/>
          <w:rtl/>
        </w:rPr>
        <w:t xml:space="preserve">הקשה שאליו </w:t>
      </w:r>
      <w:r>
        <w:rPr>
          <w:rFonts w:hint="cs"/>
          <w:rtl/>
        </w:rPr>
        <w:t>קלעה אותם</w:t>
      </w:r>
      <w:r w:rsidRPr="0039235F">
        <w:rPr>
          <w:rFonts w:hint="cs"/>
          <w:rtl/>
        </w:rPr>
        <w:t xml:space="preserve"> הוראת החוק שקושרת בין קבלת קצבה הקשורה בזכויות בן הזוג שנפטר שנצברו בהיותו עובד מדינה, לבין הסטטוס האישי של האלמן או האלמנה כיום.</w:t>
      </w:r>
      <w:r w:rsidRPr="0039235F">
        <w:rPr>
          <w:rtl/>
        </w:rPr>
        <w:t xml:space="preserve"> </w:t>
      </w:r>
    </w:p>
    <w:p w14:paraId="6AA4ADFD" w14:textId="77777777" w:rsidR="00F12923" w:rsidRPr="0039235F" w:rsidRDefault="00F12923" w:rsidP="00F12923">
      <w:pPr>
        <w:pStyle w:val="Hesber"/>
        <w:rPr>
          <w:rtl/>
        </w:rPr>
      </w:pPr>
      <w:r w:rsidRPr="0039235F">
        <w:rPr>
          <w:rFonts w:hint="cs"/>
          <w:rtl/>
        </w:rPr>
        <w:t xml:space="preserve">נוכח העובדה שרבים בוחרים שלא להינשא או שלא להירשם ולהמשיך </w:t>
      </w:r>
      <w:r w:rsidRPr="0039235F">
        <w:rPr>
          <w:rtl/>
        </w:rPr>
        <w:t>לקבל את הקצב</w:t>
      </w:r>
      <w:r w:rsidRPr="0039235F">
        <w:rPr>
          <w:rFonts w:hint="cs"/>
          <w:rtl/>
        </w:rPr>
        <w:t xml:space="preserve">ה, גם אין לראות בהצעה הכבדה על תקציב המדינה. </w:t>
      </w:r>
    </w:p>
    <w:p w14:paraId="4AB3C283" w14:textId="02624746" w:rsidR="00F12923" w:rsidRDefault="00F12923" w:rsidP="00F12923">
      <w:pPr>
        <w:pStyle w:val="Hesber"/>
        <w:rPr>
          <w:rtl/>
        </w:rPr>
      </w:pPr>
      <w:r w:rsidRPr="0039235F">
        <w:rPr>
          <w:rFonts w:hint="cs"/>
          <w:rtl/>
        </w:rPr>
        <w:t>הצעות חוק דומות בעי</w:t>
      </w:r>
      <w:r>
        <w:rPr>
          <w:rFonts w:hint="cs"/>
          <w:rtl/>
        </w:rPr>
        <w:t>קרן הונחו על שולחן הכנסת השמונה-</w:t>
      </w:r>
      <w:r w:rsidRPr="0039235F">
        <w:rPr>
          <w:rFonts w:hint="cs"/>
          <w:rtl/>
        </w:rPr>
        <w:t>עשרה על ידי חברי הכנסת זאב ב</w:t>
      </w:r>
      <w:r>
        <w:rPr>
          <w:rFonts w:hint="cs"/>
          <w:rtl/>
        </w:rPr>
        <w:t>י</w:t>
      </w:r>
      <w:r w:rsidRPr="0039235F">
        <w:rPr>
          <w:rFonts w:hint="cs"/>
          <w:rtl/>
        </w:rPr>
        <w:t>ילסקי ודב חנין (</w:t>
      </w:r>
      <w:r>
        <w:rPr>
          <w:rFonts w:hint="cs"/>
          <w:rtl/>
        </w:rPr>
        <w:t>פ/4479/18), על שולחן הכנסת התשע-</w:t>
      </w:r>
      <w:r w:rsidRPr="0039235F">
        <w:rPr>
          <w:rFonts w:hint="cs"/>
          <w:rtl/>
        </w:rPr>
        <w:t>עשרה על ידי חבר הכנסת דב חנ</w:t>
      </w:r>
      <w:r w:rsidR="001E078B">
        <w:rPr>
          <w:rFonts w:hint="cs"/>
          <w:rtl/>
        </w:rPr>
        <w:t>ין וקבוצת חברי הכנסת (פ/338/19)</w:t>
      </w:r>
      <w:r w:rsidRPr="0039235F">
        <w:rPr>
          <w:rFonts w:hint="cs"/>
          <w:rtl/>
        </w:rPr>
        <w:t xml:space="preserve"> ועל שולחן הכנסת העשרים על ידי חבר הכנסת דב חנין וקבוצת חברי הכנסת (פ/1711/20), על ידי חבר הכנסת ניסן סלומינסקי (פ/2045/20) ועל ידי חבר הכנסת אורי מקלב (פ/3349/20).</w:t>
      </w:r>
    </w:p>
    <w:p w14:paraId="63D9C8C0" w14:textId="0F54FDA2" w:rsidR="00D77F01" w:rsidRDefault="00D77F01" w:rsidP="00D77F01">
      <w:pPr>
        <w:pStyle w:val="Hesber"/>
        <w:rPr>
          <w:rtl/>
        </w:rPr>
      </w:pPr>
      <w:r>
        <w:rPr>
          <w:rFonts w:hint="cs"/>
          <w:rtl/>
        </w:rPr>
        <w:t>הצע</w:t>
      </w:r>
      <w:r w:rsidR="001E078B">
        <w:rPr>
          <w:rFonts w:hint="cs"/>
          <w:rtl/>
        </w:rPr>
        <w:t>ו</w:t>
      </w:r>
      <w:r>
        <w:rPr>
          <w:rFonts w:hint="cs"/>
          <w:rtl/>
        </w:rPr>
        <w:t>ת חוק זה</w:t>
      </w:r>
      <w:r w:rsidR="00637B82">
        <w:rPr>
          <w:rFonts w:hint="cs"/>
          <w:rtl/>
        </w:rPr>
        <w:t>ות</w:t>
      </w:r>
      <w:r>
        <w:rPr>
          <w:rFonts w:hint="cs"/>
          <w:rtl/>
        </w:rPr>
        <w:t xml:space="preserve"> הונח</w:t>
      </w:r>
      <w:r w:rsidR="00637B82">
        <w:rPr>
          <w:rFonts w:hint="cs"/>
          <w:rtl/>
        </w:rPr>
        <w:t>ו</w:t>
      </w:r>
      <w:r>
        <w:rPr>
          <w:rFonts w:hint="cs"/>
          <w:rtl/>
        </w:rPr>
        <w:t xml:space="preserve"> על שולחן הכנסת העשרים ושתיים על ידי חבר הכנסת אורי מקלב וקבוצת חברי הכנסת (פ/614/22) ועל שולחן הכנסת העשרים ושלוש על ידי חבר</w:t>
      </w:r>
      <w:r w:rsidR="00974801">
        <w:rPr>
          <w:rFonts w:hint="cs"/>
          <w:rtl/>
        </w:rPr>
        <w:t>י</w:t>
      </w:r>
      <w:r>
        <w:rPr>
          <w:rFonts w:hint="cs"/>
          <w:rtl/>
        </w:rPr>
        <w:t xml:space="preserve"> הכנסת משה גפני ו</w:t>
      </w:r>
      <w:r w:rsidR="00637B82">
        <w:rPr>
          <w:rFonts w:hint="cs"/>
          <w:rtl/>
        </w:rPr>
        <w:t>יעקב אשר</w:t>
      </w:r>
      <w:r>
        <w:rPr>
          <w:rFonts w:hint="cs"/>
          <w:rtl/>
        </w:rPr>
        <w:t xml:space="preserve"> (פ/1313/23). </w:t>
      </w:r>
    </w:p>
    <w:p w14:paraId="2E826B1D" w14:textId="1CEF86CC" w:rsidR="00637B82" w:rsidRDefault="00637B82" w:rsidP="00D77F01">
      <w:pPr>
        <w:pStyle w:val="Hesber"/>
        <w:rPr>
          <w:rtl/>
        </w:rPr>
      </w:pPr>
      <w:r>
        <w:rPr>
          <w:rFonts w:hint="cs"/>
          <w:rtl/>
        </w:rPr>
        <w:t>הצעת החוק זהה לפ/1313/23 ולפיכך לא נבדקה מחדש על ידי הלשכה המשפטית של הכנסת.</w:t>
      </w:r>
    </w:p>
    <w:p w14:paraId="6574D884" w14:textId="77777777" w:rsidR="00F12923" w:rsidRDefault="00F12923" w:rsidP="00F12923">
      <w:pPr>
        <w:pStyle w:val="Hesber"/>
        <w:rPr>
          <w:rtl/>
        </w:rPr>
      </w:pPr>
    </w:p>
    <w:p w14:paraId="7F6961CB" w14:textId="77777777" w:rsidR="00E13C27" w:rsidRDefault="00E13C27" w:rsidP="00E13C27">
      <w:pPr>
        <w:pStyle w:val="Hesber"/>
        <w:rPr>
          <w:rtl/>
        </w:rPr>
      </w:pPr>
    </w:p>
    <w:p w14:paraId="1452ACF3" w14:textId="77777777" w:rsidR="002F3B8E" w:rsidRDefault="001E078B">
      <w:pPr>
        <w:jc w:val="left"/>
      </w:pPr>
      <w:bookmarkStart w:id="9" w:name="selectedDocDateB"/>
      <w:bookmarkEnd w:id="9"/>
      <w:r>
        <w:rPr>
          <w:rFonts w:eastAsia="David" w:hint="cs"/>
          <w:sz w:val="26"/>
          <w:szCs w:val="26"/>
          <w:rtl/>
        </w:rPr>
        <w:t>--------------------------------</w:t>
      </w:r>
    </w:p>
    <w:p w14:paraId="42C19FFA" w14:textId="77777777" w:rsidR="002F3B8E" w:rsidRDefault="001E078B">
      <w:pPr>
        <w:jc w:val="left"/>
      </w:pPr>
      <w:r>
        <w:rPr>
          <w:rFonts w:eastAsia="David" w:hint="cs"/>
          <w:sz w:val="26"/>
          <w:szCs w:val="26"/>
          <w:rtl/>
        </w:rPr>
        <w:t>הוגשה ליו"ר הכנסת והסגנים</w:t>
      </w:r>
    </w:p>
    <w:p w14:paraId="1922FF0F" w14:textId="77777777" w:rsidR="002F3B8E" w:rsidRDefault="001E078B">
      <w:pPr>
        <w:jc w:val="left"/>
      </w:pPr>
      <w:r>
        <w:rPr>
          <w:rFonts w:eastAsia="David" w:hint="cs"/>
          <w:sz w:val="26"/>
          <w:szCs w:val="26"/>
          <w:rtl/>
        </w:rPr>
        <w:t>והונחה על שולחן הכנסת ביום</w:t>
      </w:r>
    </w:p>
    <w:p w14:paraId="6E9F8FA1" w14:textId="77777777" w:rsidR="002F3B8E" w:rsidRDefault="001E078B">
      <w:pPr>
        <w:jc w:val="left"/>
      </w:pPr>
      <w:r>
        <w:rPr>
          <w:rFonts w:eastAsia="David" w:hint="cs"/>
          <w:sz w:val="26"/>
          <w:szCs w:val="26"/>
          <w:rtl/>
        </w:rPr>
        <w:t xml:space="preserve">ד' באדר ב' התשפ"ב (07.03.2022) </w:t>
      </w:r>
    </w:p>
    <w:p w14:paraId="02410B14" w14:textId="77777777" w:rsidR="002F3B8E" w:rsidRDefault="002F3B8E">
      <w:pPr>
        <w:spacing w:line="276" w:lineRule="auto"/>
        <w:jc w:val="left"/>
      </w:pPr>
    </w:p>
    <w:sectPr w:rsidR="002F3B8E" w:rsidSect="001E078B">
      <w:footerReference w:type="even" r:id="rId11"/>
      <w:footerReference w:type="default" r:id="rId12"/>
      <w:pgSz w:w="11907" w:h="16840" w:code="9"/>
      <w:pgMar w:top="1701" w:right="1134" w:bottom="1417" w:left="1134" w:header="680" w:footer="680" w:gutter="0"/>
      <w:cols w:space="720"/>
      <w:noEndnote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7F6961D6" w14:textId="77777777" w:rsidR="002C3041" w:rsidRDefault="002C304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2A467169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6835E6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7F6961D8" w14:textId="77777777" w:rsidR="002C3041" w:rsidRDefault="002C30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 w:rsidP="001E078B">
      <w:pPr>
        <w:ind w:left="0"/>
      </w:pPr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4EA3319E" w14:textId="77777777" w:rsidR="00F12923" w:rsidRDefault="00F12923" w:rsidP="00F12923">
      <w:pPr>
        <w:pStyle w:val="a4"/>
      </w:pPr>
      <w:r>
        <w:rPr>
          <w:rStyle w:val="a6"/>
        </w:rPr>
        <w:footnoteRef/>
      </w:r>
      <w:r>
        <w:rPr>
          <w:sz w:val="20"/>
          <w:rtl/>
        </w:rPr>
        <w:t xml:space="preserve"> ס"ח התש"ל, עמ' 65.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9435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A2E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E00D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D24B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1685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CA2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EA3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CFF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38A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B85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972A86"/>
    <w:multiLevelType w:val="hybridMultilevel"/>
    <w:tmpl w:val="0D5028AE"/>
    <w:lvl w:ilvl="0" w:tplc="FB92B18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A2B35"/>
    <w:multiLevelType w:val="hybridMultilevel"/>
    <w:tmpl w:val="F61ADD04"/>
    <w:lvl w:ilvl="0" w:tplc="EFC26F30">
      <w:start w:val="1"/>
      <w:numFmt w:val="hebrew1"/>
      <w:pStyle w:val="4"/>
      <w:suff w:val="space"/>
      <w:lvlText w:val="%1."/>
      <w:lvlJc w:val="left"/>
      <w:pPr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3B28B0"/>
    <w:multiLevelType w:val="hybridMultilevel"/>
    <w:tmpl w:val="41ACEA96"/>
    <w:lvl w:ilvl="0" w:tplc="06A8C010">
      <w:start w:val="1"/>
      <w:numFmt w:val="decimal"/>
      <w:pStyle w:val="TOC3"/>
      <w:lvlText w:val="%1."/>
      <w:lvlJc w:val="left"/>
      <w:pPr>
        <w:ind w:left="1287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53C544D"/>
    <w:multiLevelType w:val="hybridMultilevel"/>
    <w:tmpl w:val="C7443990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3"/>
  </w:num>
  <w:num w:numId="16">
    <w:abstractNumId w:val="13"/>
    <w:lvlOverride w:ilvl="0">
      <w:startOverride w:val="1"/>
    </w:lvlOverride>
  </w:num>
  <w:num w:numId="17">
    <w:abstractNumId w:val="1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1E078B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2F3B8E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2674B"/>
    <w:rsid w:val="006363B2"/>
    <w:rsid w:val="00637B82"/>
    <w:rsid w:val="00644940"/>
    <w:rsid w:val="006818A9"/>
    <w:rsid w:val="006835E6"/>
    <w:rsid w:val="006A2D81"/>
    <w:rsid w:val="006C1D0D"/>
    <w:rsid w:val="006F596E"/>
    <w:rsid w:val="0070601E"/>
    <w:rsid w:val="00712C72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5F33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74801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23B1A"/>
    <w:rsid w:val="00C310EB"/>
    <w:rsid w:val="00C9176A"/>
    <w:rsid w:val="00CF1AA2"/>
    <w:rsid w:val="00D142D3"/>
    <w:rsid w:val="00D17774"/>
    <w:rsid w:val="00D63620"/>
    <w:rsid w:val="00D77F01"/>
    <w:rsid w:val="00D8410D"/>
    <w:rsid w:val="00D867D7"/>
    <w:rsid w:val="00DB7060"/>
    <w:rsid w:val="00DE3153"/>
    <w:rsid w:val="00E06736"/>
    <w:rsid w:val="00E13C27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12923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A5447861-3AFE-4391-AF19-473F49D93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78B"/>
    <w:pPr>
      <w:widowControl w:val="0"/>
      <w:bidi/>
      <w:spacing w:line="360" w:lineRule="auto"/>
      <w:ind w:left="340"/>
      <w:contextualSpacing/>
      <w:jc w:val="both"/>
    </w:pPr>
    <w:rPr>
      <w:rFonts w:ascii="David" w:eastAsiaTheme="minorHAnsi" w:hAnsi="David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078B"/>
    <w:pPr>
      <w:keepNext/>
      <w:keepLines/>
      <w:spacing w:before="240"/>
      <w:jc w:val="center"/>
      <w:outlineLvl w:val="0"/>
    </w:pPr>
    <w:rPr>
      <w:rFonts w:asciiTheme="majorHAnsi" w:eastAsiaTheme="majorEastAsia" w:hAnsiTheme="majorHAnsi"/>
      <w:bCs/>
      <w:sz w:val="32"/>
      <w:szCs w:val="36"/>
    </w:rPr>
  </w:style>
  <w:style w:type="paragraph" w:styleId="2">
    <w:name w:val="heading 2"/>
    <w:basedOn w:val="a"/>
    <w:next w:val="a"/>
    <w:link w:val="20"/>
    <w:unhideWhenUsed/>
    <w:qFormat/>
    <w:rsid w:val="001E078B"/>
    <w:pPr>
      <w:ind w:left="0"/>
      <w:jc w:val="left"/>
      <w:outlineLvl w:val="1"/>
    </w:pPr>
    <w:rPr>
      <w:rFonts w:asciiTheme="majorHAnsi" w:eastAsiaTheme="majorEastAsia" w:hAnsiTheme="majorHAnsi"/>
      <w:bCs/>
      <w:sz w:val="26"/>
      <w:szCs w:val="36"/>
      <w:u w:val="single"/>
    </w:rPr>
  </w:style>
  <w:style w:type="paragraph" w:styleId="3">
    <w:name w:val="heading 3"/>
    <w:basedOn w:val="a"/>
    <w:next w:val="a"/>
    <w:link w:val="30"/>
    <w:unhideWhenUsed/>
    <w:qFormat/>
    <w:rsid w:val="001E078B"/>
    <w:pPr>
      <w:spacing w:before="40"/>
      <w:ind w:left="0"/>
      <w:jc w:val="left"/>
      <w:outlineLvl w:val="2"/>
    </w:pPr>
    <w:rPr>
      <w:rFonts w:asciiTheme="majorHAnsi" w:eastAsiaTheme="majorEastAsia" w:hAnsiTheme="majorHAnsi"/>
      <w:szCs w:val="28"/>
      <w:u w:val="double"/>
    </w:rPr>
  </w:style>
  <w:style w:type="paragraph" w:styleId="4">
    <w:name w:val="heading 4"/>
    <w:basedOn w:val="a"/>
    <w:next w:val="a"/>
    <w:link w:val="40"/>
    <w:uiPriority w:val="9"/>
    <w:unhideWhenUsed/>
    <w:qFormat/>
    <w:rsid w:val="001E078B"/>
    <w:pPr>
      <w:numPr>
        <w:numId w:val="18"/>
      </w:numPr>
      <w:spacing w:before="40" w:after="120"/>
      <w:outlineLvl w:val="3"/>
    </w:pPr>
    <w:rPr>
      <w:b/>
      <w:bCs/>
      <w:color w:val="000000" w:themeColor="text1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E078B"/>
    <w:pPr>
      <w:spacing w:line="259" w:lineRule="auto"/>
      <w:outlineLvl w:val="4"/>
    </w:pPr>
    <w:rPr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1E078B"/>
    <w:pPr>
      <w:tabs>
        <w:tab w:val="left" w:pos="1191"/>
        <w:tab w:val="left" w:pos="1587"/>
      </w:tabs>
      <w:snapToGrid w:val="0"/>
      <w:spacing w:before="240" w:after="240" w:line="480" w:lineRule="auto"/>
      <w:jc w:val="center"/>
    </w:pPr>
    <w:rPr>
      <w:rFonts w:ascii="Arial" w:eastAsia="Arial Unicode MS" w:hAnsi="Arial"/>
      <w:snapToGrid w:val="0"/>
      <w:sz w:val="20"/>
      <w:szCs w:val="26"/>
    </w:rPr>
  </w:style>
  <w:style w:type="paragraph" w:customStyle="1" w:styleId="Cover2-HatzaotHok">
    <w:name w:val="Cover 2-HatzaotHok"/>
    <w:basedOn w:val="Cover1-Reshumot"/>
    <w:rsid w:val="001E078B"/>
    <w:rPr>
      <w:sz w:val="36"/>
      <w:szCs w:val="52"/>
    </w:rPr>
  </w:style>
  <w:style w:type="paragraph" w:customStyle="1" w:styleId="Cover3-Haknesset">
    <w:name w:val="Cover 3-Haknesset"/>
    <w:basedOn w:val="Cover1-Reshumot"/>
    <w:rsid w:val="001E078B"/>
    <w:rPr>
      <w:b/>
      <w:bCs/>
      <w:spacing w:val="60"/>
    </w:rPr>
  </w:style>
  <w:style w:type="paragraph" w:customStyle="1" w:styleId="Cover4-Date">
    <w:name w:val="Cover 4-Date"/>
    <w:basedOn w:val="a"/>
    <w:rsid w:val="001E078B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1E078B"/>
    <w:pPr>
      <w:keepNext/>
      <w:keepLines/>
      <w:pageBreakBefore/>
      <w:snapToGrid w:val="0"/>
      <w:spacing w:before="48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">
    <w:name w:val="Head HatzaotHok"/>
    <w:basedOn w:val="a"/>
    <w:rsid w:val="001E078B"/>
    <w:pPr>
      <w:keepNext/>
      <w:keepLines/>
      <w:snapToGrid w:val="0"/>
      <w:spacing w:before="240"/>
      <w:jc w:val="center"/>
      <w:outlineLvl w:val="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4Futer">
    <w:name w:val="Head HatzaotHok4Futer"/>
    <w:basedOn w:val="HeadHatzaotHok"/>
    <w:rsid w:val="001E078B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1E078B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1E078B"/>
    <w:pPr>
      <w:keepLines/>
      <w:tabs>
        <w:tab w:val="left" w:pos="624"/>
        <w:tab w:val="left" w:pos="1247"/>
      </w:tabs>
      <w:snapToGrid w:val="0"/>
      <w:ind w:left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ableSideHeading">
    <w:name w:val="Table SideHeading"/>
    <w:basedOn w:val="TableText"/>
    <w:rsid w:val="001E078B"/>
    <w:pPr>
      <w:outlineLvl w:val="2"/>
    </w:pPr>
  </w:style>
  <w:style w:type="paragraph" w:customStyle="1" w:styleId="TableBlock">
    <w:name w:val="Table Block"/>
    <w:basedOn w:val="TableText"/>
    <w:rsid w:val="001E078B"/>
    <w:pPr>
      <w:jc w:val="both"/>
    </w:pPr>
  </w:style>
  <w:style w:type="paragraph" w:customStyle="1" w:styleId="TableHead">
    <w:name w:val="Table Head"/>
    <w:basedOn w:val="TableText"/>
    <w:rsid w:val="001E078B"/>
    <w:pPr>
      <w:jc w:val="center"/>
      <w:outlineLvl w:val="1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1E078B"/>
    <w:pPr>
      <w:outlineLvl w:val="9"/>
    </w:pPr>
  </w:style>
  <w:style w:type="paragraph" w:customStyle="1" w:styleId="Hesber">
    <w:name w:val="Hesber"/>
    <w:basedOn w:val="a"/>
    <w:rsid w:val="001E078B"/>
    <w:pPr>
      <w:snapToGrid w:val="0"/>
      <w:ind w:left="0" w:firstLine="340"/>
    </w:pPr>
    <w:rPr>
      <w:rFonts w:ascii="Arial" w:eastAsia="Arial Unicode MS" w:hAnsi="Arial"/>
      <w:snapToGrid w:val="0"/>
      <w:sz w:val="20"/>
      <w:szCs w:val="26"/>
    </w:rPr>
  </w:style>
  <w:style w:type="paragraph" w:styleId="a4">
    <w:name w:val="footnote text"/>
    <w:basedOn w:val="a"/>
    <w:link w:val="a5"/>
    <w:autoRedefine/>
    <w:rsid w:val="001E078B"/>
    <w:pPr>
      <w:snapToGrid w:val="0"/>
      <w:spacing w:line="240" w:lineRule="auto"/>
      <w:ind w:left="0"/>
      <w:jc w:val="left"/>
    </w:pPr>
    <w:rPr>
      <w:rFonts w:ascii="Arial" w:eastAsia="Arial Unicode MS" w:hAnsi="Arial"/>
      <w:snapToGrid w:val="0"/>
      <w:sz w:val="14"/>
      <w:szCs w:val="20"/>
    </w:rPr>
  </w:style>
  <w:style w:type="character" w:styleId="a6">
    <w:name w:val="footnote reference"/>
    <w:aliases w:val="Footnote Reference"/>
    <w:basedOn w:val="a0"/>
    <w:rsid w:val="001E078B"/>
    <w:rPr>
      <w:vertAlign w:val="superscript"/>
    </w:rPr>
  </w:style>
  <w:style w:type="paragraph" w:customStyle="1" w:styleId="HesberHeading">
    <w:name w:val="Hesber Heading"/>
    <w:basedOn w:val="Hesber"/>
    <w:rsid w:val="001E078B"/>
    <w:pPr>
      <w:tabs>
        <w:tab w:val="left" w:pos="624"/>
        <w:tab w:val="left" w:pos="1247"/>
      </w:tabs>
    </w:pPr>
    <w:rPr>
      <w:b/>
      <w:bCs/>
    </w:rPr>
  </w:style>
  <w:style w:type="paragraph" w:customStyle="1" w:styleId="HesberWriters">
    <w:name w:val="Hesber Writers"/>
    <w:basedOn w:val="Hesber"/>
    <w:rsid w:val="001E078B"/>
    <w:pPr>
      <w:spacing w:before="120" w:after="120"/>
      <w:ind w:left="1418"/>
      <w:jc w:val="right"/>
    </w:pPr>
    <w:rPr>
      <w:b/>
      <w:bCs/>
    </w:rPr>
  </w:style>
  <w:style w:type="paragraph" w:customStyle="1" w:styleId="Hesber1st">
    <w:name w:val="Hesber 1st"/>
    <w:basedOn w:val="Hesber"/>
    <w:rsid w:val="001E078B"/>
    <w:pPr>
      <w:tabs>
        <w:tab w:val="left" w:pos="680"/>
        <w:tab w:val="left" w:pos="1020"/>
      </w:tabs>
      <w:ind w:firstLine="0"/>
    </w:pPr>
  </w:style>
  <w:style w:type="character" w:styleId="a7">
    <w:name w:val="endnote reference"/>
    <w:basedOn w:val="a0"/>
    <w:semiHidden/>
    <w:rsid w:val="001E078B"/>
    <w:rPr>
      <w:vertAlign w:val="superscript"/>
    </w:rPr>
  </w:style>
  <w:style w:type="paragraph" w:customStyle="1" w:styleId="TableBlockOutdent">
    <w:name w:val="Table BlockOutdent"/>
    <w:basedOn w:val="TableBlock"/>
    <w:rsid w:val="001E078B"/>
    <w:pPr>
      <w:ind w:left="624" w:hanging="624"/>
    </w:pPr>
  </w:style>
  <w:style w:type="paragraph" w:styleId="a8">
    <w:name w:val="header"/>
    <w:basedOn w:val="a"/>
    <w:rsid w:val="001E078B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1E078B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1E078B"/>
    <w:pPr>
      <w:snapToGrid w:val="0"/>
      <w:spacing w:before="360" w:after="120"/>
      <w:jc w:val="center"/>
      <w:outlineLvl w:val="1"/>
    </w:pPr>
    <w:rPr>
      <w:rFonts w:ascii="Arial" w:eastAsia="Arial Unicode MS" w:hAnsi="Arial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1E078B"/>
    <w:pPr>
      <w:snapToGrid w:val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styleId="aa">
    <w:name w:val="Title"/>
    <w:basedOn w:val="a"/>
    <w:qFormat/>
    <w:rsid w:val="00943386"/>
    <w:pPr>
      <w:jc w:val="center"/>
    </w:pPr>
    <w:rPr>
      <w:b/>
      <w:bCs/>
      <w:sz w:val="28"/>
      <w:szCs w:val="28"/>
      <w:u w:val="single"/>
    </w:rPr>
  </w:style>
  <w:style w:type="character" w:styleId="ab">
    <w:name w:val="page number"/>
    <w:basedOn w:val="a0"/>
    <w:rsid w:val="001E078B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jc w:val="left"/>
    </w:pPr>
    <w:rPr>
      <w:sz w:val="26"/>
      <w:szCs w:val="26"/>
    </w:rPr>
  </w:style>
  <w:style w:type="paragraph" w:styleId="ac">
    <w:name w:val="Balloon Text"/>
    <w:basedOn w:val="a"/>
    <w:link w:val="ad"/>
    <w:semiHidden/>
    <w:unhideWhenUsed/>
    <w:rsid w:val="00325C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a5">
    <w:name w:val="טקסט הערת שוליים תו"/>
    <w:link w:val="a4"/>
    <w:rsid w:val="00F12923"/>
    <w:rPr>
      <w:rFonts w:ascii="Arial" w:eastAsia="Arial Unicode MS" w:hAnsi="Arial" w:cs="David"/>
      <w:snapToGrid w:val="0"/>
      <w:sz w:val="14"/>
    </w:rPr>
  </w:style>
  <w:style w:type="character" w:customStyle="1" w:styleId="10">
    <w:name w:val="כותרת 1 תו"/>
    <w:basedOn w:val="a0"/>
    <w:link w:val="1"/>
    <w:uiPriority w:val="9"/>
    <w:rsid w:val="001E078B"/>
    <w:rPr>
      <w:rFonts w:asciiTheme="majorHAnsi" w:eastAsiaTheme="majorEastAsia" w:hAnsiTheme="majorHAnsi" w:cs="David"/>
      <w:bCs/>
      <w:sz w:val="32"/>
      <w:szCs w:val="36"/>
    </w:rPr>
  </w:style>
  <w:style w:type="character" w:customStyle="1" w:styleId="20">
    <w:name w:val="כותרת 2 תו"/>
    <w:basedOn w:val="a0"/>
    <w:link w:val="2"/>
    <w:rsid w:val="001E078B"/>
    <w:rPr>
      <w:rFonts w:asciiTheme="majorHAnsi" w:eastAsiaTheme="majorEastAsia" w:hAnsiTheme="majorHAnsi" w:cs="David"/>
      <w:bCs/>
      <w:sz w:val="26"/>
      <w:szCs w:val="36"/>
      <w:u w:val="single"/>
    </w:rPr>
  </w:style>
  <w:style w:type="character" w:customStyle="1" w:styleId="30">
    <w:name w:val="כותרת 3 תו"/>
    <w:basedOn w:val="a0"/>
    <w:link w:val="3"/>
    <w:rsid w:val="001E078B"/>
    <w:rPr>
      <w:rFonts w:asciiTheme="majorHAnsi" w:eastAsiaTheme="majorEastAsia" w:hAnsiTheme="majorHAnsi" w:cs="David"/>
      <w:sz w:val="24"/>
      <w:szCs w:val="28"/>
      <w:u w:val="double"/>
    </w:rPr>
  </w:style>
  <w:style w:type="character" w:customStyle="1" w:styleId="40">
    <w:name w:val="כותרת 4 תו"/>
    <w:basedOn w:val="a0"/>
    <w:link w:val="4"/>
    <w:uiPriority w:val="9"/>
    <w:rsid w:val="001E078B"/>
    <w:rPr>
      <w:rFonts w:ascii="David" w:eastAsiaTheme="minorHAnsi" w:hAnsi="David" w:cs="David"/>
      <w:b/>
      <w:bCs/>
      <w:color w:val="000000" w:themeColor="text1"/>
      <w:sz w:val="24"/>
      <w:szCs w:val="28"/>
    </w:rPr>
  </w:style>
  <w:style w:type="character" w:customStyle="1" w:styleId="50">
    <w:name w:val="כותרת 5 תו"/>
    <w:basedOn w:val="a0"/>
    <w:link w:val="5"/>
    <w:uiPriority w:val="9"/>
    <w:rsid w:val="001E078B"/>
    <w:rPr>
      <w:rFonts w:ascii="David" w:eastAsiaTheme="minorHAnsi" w:hAnsi="David" w:cs="David"/>
      <w:color w:val="000000" w:themeColor="text1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1E078B"/>
    <w:pPr>
      <w:widowControl/>
      <w:spacing w:before="120" w:after="120"/>
      <w:outlineLvl w:val="9"/>
    </w:pPr>
    <w:rPr>
      <w:rtl/>
      <w:cs/>
    </w:rPr>
  </w:style>
  <w:style w:type="paragraph" w:styleId="TOC1">
    <w:name w:val="toc 1"/>
    <w:basedOn w:val="a"/>
    <w:next w:val="a"/>
    <w:autoRedefine/>
    <w:uiPriority w:val="39"/>
    <w:unhideWhenUsed/>
    <w:rsid w:val="001E078B"/>
    <w:pPr>
      <w:tabs>
        <w:tab w:val="right" w:leader="dot" w:pos="9629"/>
      </w:tabs>
      <w:spacing w:after="100"/>
    </w:pPr>
    <w:rPr>
      <w:bCs/>
      <w:szCs w:val="22"/>
    </w:rPr>
  </w:style>
  <w:style w:type="paragraph" w:styleId="TOC2">
    <w:name w:val="toc 2"/>
    <w:basedOn w:val="a"/>
    <w:next w:val="a"/>
    <w:uiPriority w:val="39"/>
    <w:unhideWhenUsed/>
    <w:rsid w:val="001E078B"/>
    <w:pPr>
      <w:tabs>
        <w:tab w:val="right" w:leader="dot" w:pos="9628"/>
      </w:tabs>
      <w:spacing w:after="100"/>
    </w:pPr>
    <w:rPr>
      <w:szCs w:val="22"/>
    </w:rPr>
  </w:style>
  <w:style w:type="character" w:styleId="Hyperlink">
    <w:name w:val="Hyperlink"/>
    <w:basedOn w:val="a0"/>
    <w:uiPriority w:val="99"/>
    <w:unhideWhenUsed/>
    <w:rsid w:val="001E078B"/>
    <w:rPr>
      <w:color w:val="0000FF" w:themeColor="hyperlink"/>
      <w:u w:val="single"/>
    </w:rPr>
  </w:style>
  <w:style w:type="paragraph" w:styleId="TOC3">
    <w:name w:val="toc 3"/>
    <w:basedOn w:val="a"/>
    <w:next w:val="a"/>
    <w:uiPriority w:val="39"/>
    <w:unhideWhenUsed/>
    <w:rsid w:val="001E078B"/>
    <w:pPr>
      <w:numPr>
        <w:numId w:val="21"/>
      </w:numPr>
      <w:tabs>
        <w:tab w:val="right" w:leader="dot" w:pos="9629"/>
      </w:tabs>
      <w:spacing w:after="100"/>
      <w:ind w:left="811" w:hanging="357"/>
    </w:pPr>
    <w:rPr>
      <w:szCs w:val="22"/>
    </w:rPr>
  </w:style>
  <w:style w:type="paragraph" w:styleId="TOC4">
    <w:name w:val="toc 4"/>
    <w:basedOn w:val="a"/>
    <w:next w:val="a"/>
    <w:autoRedefine/>
    <w:unhideWhenUsed/>
    <w:qFormat/>
    <w:rsid w:val="001E078B"/>
    <w:pPr>
      <w:tabs>
        <w:tab w:val="right" w:leader="dot" w:pos="9628"/>
      </w:tabs>
      <w:spacing w:after="100"/>
      <w:ind w:left="567"/>
    </w:pPr>
    <w:rPr>
      <w:rFonts w:asciiTheme="minorHAnsi" w:eastAsiaTheme="minorEastAsia" w:hAnsiTheme="minorHAnsi"/>
      <w:noProof/>
      <w:sz w:val="22"/>
      <w:szCs w:val="22"/>
    </w:rPr>
  </w:style>
  <w:style w:type="paragraph" w:styleId="TOC5">
    <w:name w:val="toc 5"/>
    <w:basedOn w:val="a"/>
    <w:next w:val="a"/>
    <w:semiHidden/>
    <w:unhideWhenUsed/>
    <w:rsid w:val="001E078B"/>
    <w:pPr>
      <w:tabs>
        <w:tab w:val="right" w:leader="dot" w:pos="9628"/>
      </w:tabs>
      <w:spacing w:after="100"/>
      <w:ind w:left="567"/>
    </w:pPr>
    <w:rPr>
      <w:szCs w:val="22"/>
    </w:rPr>
  </w:style>
  <w:style w:type="paragraph" w:styleId="TOC6">
    <w:name w:val="toc 6"/>
    <w:basedOn w:val="a"/>
    <w:next w:val="a"/>
    <w:autoRedefine/>
    <w:semiHidden/>
    <w:unhideWhenUsed/>
    <w:rsid w:val="001E078B"/>
    <w:pPr>
      <w:spacing w:after="100"/>
      <w:ind w:left="850"/>
    </w:pPr>
  </w:style>
  <w:style w:type="paragraph" w:styleId="TOC7">
    <w:name w:val="toc 7"/>
    <w:basedOn w:val="a"/>
    <w:next w:val="a"/>
    <w:autoRedefine/>
    <w:semiHidden/>
    <w:unhideWhenUsed/>
    <w:rsid w:val="001E078B"/>
    <w:pPr>
      <w:spacing w:after="100"/>
      <w:ind w:left="1020"/>
    </w:pPr>
  </w:style>
  <w:style w:type="paragraph" w:styleId="TOC8">
    <w:name w:val="toc 8"/>
    <w:basedOn w:val="a"/>
    <w:next w:val="a"/>
    <w:autoRedefine/>
    <w:semiHidden/>
    <w:unhideWhenUsed/>
    <w:rsid w:val="001E078B"/>
    <w:pPr>
      <w:spacing w:after="100"/>
      <w:ind w:left="1190"/>
    </w:pPr>
  </w:style>
  <w:style w:type="paragraph" w:styleId="TOC9">
    <w:name w:val="toc 9"/>
    <w:basedOn w:val="a"/>
    <w:next w:val="a"/>
    <w:autoRedefine/>
    <w:semiHidden/>
    <w:unhideWhenUsed/>
    <w:rsid w:val="001E078B"/>
    <w:pPr>
      <w:spacing w:after="100"/>
      <w:ind w:left="1360"/>
    </w:pPr>
  </w:style>
  <w:style w:type="paragraph" w:customStyle="1" w:styleId="TableHead2">
    <w:name w:val="Table Head2"/>
    <w:basedOn w:val="TableHead"/>
    <w:qFormat/>
    <w:rsid w:val="001E078B"/>
    <w:pPr>
      <w:outlineLvl w:val="9"/>
    </w:pPr>
  </w:style>
  <w:style w:type="paragraph" w:customStyle="1" w:styleId="TableSideHeading2">
    <w:name w:val="Table SideHeading2"/>
    <w:basedOn w:val="TableSideHeading"/>
    <w:autoRedefine/>
    <w:qFormat/>
    <w:rsid w:val="001E078B"/>
    <w:pPr>
      <w:keepLines w:val="0"/>
      <w:outlineLvl w:val="9"/>
    </w:pPr>
  </w:style>
  <w:style w:type="paragraph" w:customStyle="1" w:styleId="0">
    <w:name w:val="סגנון שורה ראשונה:  0  ס''מ"/>
    <w:basedOn w:val="2"/>
    <w:rsid w:val="001E078B"/>
    <w:rPr>
      <w:rFonts w:eastAsia="Times New Roman"/>
    </w:rPr>
  </w:style>
  <w:style w:type="paragraph" w:styleId="af">
    <w:name w:val="List Paragraph"/>
    <w:basedOn w:val="a"/>
    <w:uiPriority w:val="34"/>
    <w:qFormat/>
    <w:rsid w:val="001E078B"/>
    <w:pPr>
      <w:widowControl/>
      <w:spacing w:line="259" w:lineRule="auto"/>
    </w:pPr>
    <w:rPr>
      <w:rFonts w:asciiTheme="minorHAnsi" w:hAnsiTheme="minorHAnsi"/>
      <w:sz w:val="22"/>
    </w:rPr>
  </w:style>
  <w:style w:type="table" w:styleId="af0">
    <w:name w:val="Table Grid"/>
    <w:basedOn w:val="a1"/>
    <w:rsid w:val="001E07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1E078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2">
    <w:name w:val="Grid Table 1 Light"/>
    <w:basedOn w:val="a1"/>
    <w:uiPriority w:val="46"/>
    <w:rsid w:val="001E078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f1">
    <w:name w:val="טבלת חקיקה"/>
    <w:basedOn w:val="a1"/>
    <w:uiPriority w:val="99"/>
    <w:rsid w:val="001E078B"/>
    <w:pPr>
      <w:jc w:val="center"/>
    </w:pPr>
    <w:rPr>
      <w:rFonts w:cstheme="minorBidi"/>
    </w:rPr>
    <w:tblPr/>
    <w:tcPr>
      <w:tcMar>
        <w:left w:w="0" w:type="dxa"/>
        <w:right w:w="0" w:type="dxa"/>
      </w:tcMar>
      <w:vAlign w:val="center"/>
    </w:tcPr>
    <w:tblStylePr w:type="firstRow">
      <w:pPr>
        <w:jc w:val="center"/>
      </w:pPr>
      <w:rPr>
        <w:rFonts w:cs="David"/>
        <w:bCs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firstCol">
      <w:tblPr/>
      <w:tcPr>
        <w:noWrap/>
      </w:tcPr>
    </w:tblStylePr>
    <w:tblStylePr w:type="lastCol">
      <w:pPr>
        <w:jc w:val="center"/>
      </w:pPr>
      <w:tblPr/>
      <w:tcPr>
        <w:noWrap/>
      </w:tcPr>
    </w:tblStylePr>
  </w:style>
  <w:style w:type="table" w:customStyle="1" w:styleId="13">
    <w:name w:val="סגנון1"/>
    <w:basedOn w:val="a1"/>
    <w:uiPriority w:val="99"/>
    <w:rsid w:val="001E078B"/>
    <w:tblPr/>
    <w:tblStylePr w:type="firstCol">
      <w:pPr>
        <w:keepNext w:val="0"/>
        <w:keepLines/>
        <w:pageBreakBefore w:val="0"/>
        <w:widowControl w:val="0"/>
        <w:suppressLineNumbers w:val="0"/>
        <w:suppressAutoHyphens w:val="0"/>
        <w:wordWrap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E13442BF316646AF5951F2A6F4E844" ma:contentTypeVersion="" ma:contentTypeDescription="צור מסמך חדש." ma:contentTypeScope="" ma:versionID="3e09f08e861ef8c9ca8a66bc33319a22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92502-1382-42CB-949C-40B7ECD96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F4AFE3-9455-419C-8851-785A55F44517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290d5b49-c690-4c6f-bbb9-1e50dab33eee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E8F9841-FF22-4EB9-9A0C-AF2AEA033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לילך יעיש</cp:lastModifiedBy>
  <cp:revision>11</cp:revision>
  <cp:lastPrinted>2022-03-07T07:20:00Z</cp:lastPrinted>
  <dcterms:created xsi:type="dcterms:W3CDTF">2015-04-20T09:58:00Z</dcterms:created>
  <dcterms:modified xsi:type="dcterms:W3CDTF">2022-03-07T07:21:00Z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0x010100ABE13442BF316646AF5951F2A6F4E844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2190337</vt:r8>
  </property>
</Properties>
</file>